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912" w:rsidRDefault="00C50912" w:rsidP="00C50912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 atividade "museu"</w:t>
      </w:r>
      <w:proofErr w:type="gramStart"/>
      <w:r>
        <w:rPr>
          <w:rFonts w:ascii="Arial" w:hAnsi="Arial" w:cs="Arial"/>
          <w:color w:val="333333"/>
          <w:sz w:val="21"/>
          <w:szCs w:val="21"/>
        </w:rPr>
        <w:t>, enquadra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da como categoria de uso E2 - Instituições Diversificadas, subcategoria E 2.2 - Lazer e Cultura, conforme Quadro nº 7, anexo ao </w:t>
      </w:r>
      <w:hyperlink r:id="rId5" w:history="1">
        <w:r>
          <w:rPr>
            <w:rStyle w:val="Hyperlink"/>
            <w:rFonts w:ascii="Arial" w:hAnsi="Arial" w:cs="Arial"/>
            <w:sz w:val="21"/>
            <w:szCs w:val="21"/>
          </w:rPr>
          <w:t>Decreto nº 11.106, de 28 de junho de 1974</w:t>
        </w:r>
      </w:hyperlink>
      <w:r>
        <w:rPr>
          <w:rFonts w:ascii="Arial" w:hAnsi="Arial" w:cs="Arial"/>
          <w:color w:val="333333"/>
          <w:sz w:val="21"/>
          <w:szCs w:val="21"/>
        </w:rPr>
        <w:t>, alterado pelo </w:t>
      </w:r>
      <w:hyperlink r:id="rId6" w:history="1">
        <w:r>
          <w:rPr>
            <w:rStyle w:val="Hyperlink"/>
            <w:rFonts w:ascii="Arial" w:hAnsi="Arial" w:cs="Arial"/>
            <w:sz w:val="21"/>
            <w:szCs w:val="21"/>
          </w:rPr>
          <w:t>Decreto nº 17.494, de 14 de agosto de 1981</w:t>
        </w:r>
      </w:hyperlink>
      <w:r>
        <w:rPr>
          <w:rFonts w:ascii="Arial" w:hAnsi="Arial" w:cs="Arial"/>
          <w:color w:val="333333"/>
          <w:sz w:val="21"/>
          <w:szCs w:val="21"/>
        </w:rPr>
        <w:t>, passa a ser enquadrada na categoria de USO E 4 - Usos Especiais.</w:t>
      </w:r>
    </w:p>
    <w:p w:rsidR="00C50912" w:rsidRDefault="00C50912" w:rsidP="00C50912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Art. 2º A listagem de Categorias de Usos Especiais E </w:t>
      </w:r>
      <w:proofErr w:type="gramStart"/>
      <w:r>
        <w:rPr>
          <w:rFonts w:ascii="Arial" w:hAnsi="Arial" w:cs="Arial"/>
          <w:color w:val="333333"/>
          <w:sz w:val="21"/>
          <w:szCs w:val="21"/>
        </w:rPr>
        <w:t>4</w:t>
      </w:r>
      <w:proofErr w:type="gramEnd"/>
      <w:r>
        <w:rPr>
          <w:rFonts w:ascii="Arial" w:hAnsi="Arial" w:cs="Arial"/>
          <w:color w:val="333333"/>
          <w:sz w:val="21"/>
          <w:szCs w:val="21"/>
        </w:rPr>
        <w:t>, constante do Quadro nº 7, referido no artigo anterior, fica acrescida da seguinte atividade:</w:t>
      </w:r>
    </w:p>
    <w:p w:rsidR="00DC1FFB" w:rsidRPr="00C50912" w:rsidRDefault="00C50912" w:rsidP="00C50912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"Conjunto de exposições de caráter permanente, com área construída superior a 100.000m², de interesse ou utilidade pública."</w:t>
      </w:r>
      <w:bookmarkStart w:id="0" w:name="_GoBack"/>
      <w:bookmarkEnd w:id="0"/>
    </w:p>
    <w:sectPr w:rsidR="00DC1FFB" w:rsidRPr="00C509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912"/>
    <w:rsid w:val="005D490C"/>
    <w:rsid w:val="00C50912"/>
    <w:rsid w:val="00EF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50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509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50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50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legislacao.prefeitura.sp.gov.br/leis/decreto-17494-de-14-de-agosto-de-1981" TargetMode="External"/><Relationship Id="rId5" Type="http://schemas.openxmlformats.org/officeDocument/2006/relationships/hyperlink" Target="http://legislacao.prefeitura.sp.gov.br/leis/decreto-11106-de-28-de-junho-de-197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670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d778721</dc:creator>
  <cp:lastModifiedBy>d778721</cp:lastModifiedBy>
  <cp:revision>1</cp:revision>
  <dcterms:created xsi:type="dcterms:W3CDTF">2020-01-14T13:40:00Z</dcterms:created>
  <dcterms:modified xsi:type="dcterms:W3CDTF">2020-01-14T13:41:00Z</dcterms:modified>
</cp:coreProperties>
</file>